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735D46EA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501409">
        <w:rPr>
          <w:rFonts w:ascii="Times New Roman" w:eastAsia="Calibri" w:hAnsi="Times New Roman"/>
          <w:b/>
          <w:sz w:val="24"/>
          <w:szCs w:val="24"/>
          <w:lang w:val="sr-Cyrl-CS"/>
        </w:rPr>
        <w:t>6</w:t>
      </w:r>
    </w:p>
    <w:p w14:paraId="484A24C8" w14:textId="48EF8CE2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501409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15137F25" w14:textId="07A70CCA" w:rsidR="00501409" w:rsidRPr="00E03479" w:rsidRDefault="00501409" w:rsidP="00501409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1" w:name="_Hlk96797975"/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 w:rsidRPr="00FA6D9C">
        <w:rPr>
          <w:lang w:val="sr-Cyrl-RS"/>
        </w:rPr>
        <w:t xml:space="preserve"> 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крај мај-почетак јуна 2023. године, </w:t>
      </w:r>
      <w:r w:rsidRPr="00433035">
        <w:rPr>
          <w:rFonts w:ascii="Times New Roman" w:eastAsia="Calibri" w:hAnsi="Times New Roman"/>
          <w:sz w:val="24"/>
          <w:szCs w:val="24"/>
          <w:lang w:val="sr-Cyrl-CS"/>
        </w:rPr>
        <w:t>2 дана</w:t>
      </w:r>
    </w:p>
    <w:p w14:paraId="28016870" w14:textId="6BB16B0C" w:rsidR="00501409" w:rsidRPr="00501409" w:rsidRDefault="00501409" w:rsidP="00501409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501409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Дестинација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>: Љиг-Студеница-Копаоник-Жича-Крушевац-Врњачка бања-Љиг</w:t>
      </w:r>
    </w:p>
    <w:p w14:paraId="59105ACA" w14:textId="77777777" w:rsidR="00501409" w:rsidRPr="00E0347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03479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Садржај:</w:t>
      </w:r>
    </w:p>
    <w:p w14:paraId="410F49C0" w14:textId="77777777" w:rsidR="00501409" w:rsidRPr="00501409" w:rsidRDefault="00501409" w:rsidP="00501409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7927397"/>
      <w:r w:rsidRPr="00501409">
        <w:rPr>
          <w:rFonts w:ascii="Times New Roman" w:eastAsia="Calibri" w:hAnsi="Times New Roman"/>
          <w:sz w:val="24"/>
          <w:szCs w:val="24"/>
          <w:lang w:val="sr-Cyrl-CS"/>
        </w:rPr>
        <w:t>Први дан:</w:t>
      </w:r>
    </w:p>
    <w:p w14:paraId="028D17B5" w14:textId="77777777" w:rsidR="00501409" w:rsidRPr="00501409" w:rsidRDefault="00501409" w:rsidP="00501409">
      <w:pPr>
        <w:numPr>
          <w:ilvl w:val="0"/>
          <w:numId w:val="6"/>
        </w:numPr>
        <w:suppressAutoHyphens/>
        <w:spacing w:after="80" w:line="100" w:lineRule="atLeast"/>
        <w:rPr>
          <w:rFonts w:ascii="Times New Roman" w:eastAsia="Calibri" w:hAnsi="Times New Roman"/>
          <w:sz w:val="24"/>
          <w:szCs w:val="24"/>
          <w:lang w:val="sr-Cyrl-CS"/>
        </w:rPr>
      </w:pPr>
      <w:r w:rsidRPr="00501409">
        <w:rPr>
          <w:rFonts w:ascii="Times New Roman" w:eastAsia="Calibri" w:hAnsi="Times New Roman"/>
          <w:sz w:val="24"/>
          <w:szCs w:val="24"/>
          <w:lang w:val="sr-Cyrl-CS"/>
        </w:rPr>
        <w:t>Обилазак манастира Студеница, Копаоник, Жича;</w:t>
      </w:r>
    </w:p>
    <w:p w14:paraId="79D31CC5" w14:textId="77777777" w:rsidR="00501409" w:rsidRPr="00501409" w:rsidRDefault="00501409" w:rsidP="00501409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501409">
        <w:rPr>
          <w:rFonts w:ascii="Times New Roman" w:eastAsia="Calibri" w:hAnsi="Times New Roman"/>
          <w:sz w:val="24"/>
          <w:szCs w:val="24"/>
          <w:lang w:val="sr-Cyrl-CS"/>
        </w:rPr>
        <w:t>Други дан:</w:t>
      </w:r>
    </w:p>
    <w:p w14:paraId="33039D3E" w14:textId="36063611" w:rsidR="00501409" w:rsidRPr="00501409" w:rsidRDefault="00501409" w:rsidP="00501409">
      <w:pPr>
        <w:numPr>
          <w:ilvl w:val="0"/>
          <w:numId w:val="6"/>
        </w:numPr>
        <w:suppressAutoHyphens/>
        <w:spacing w:after="80" w:line="100" w:lineRule="atLeast"/>
        <w:rPr>
          <w:rFonts w:ascii="Times New Roman" w:eastAsia="Calibri" w:hAnsi="Times New Roman"/>
          <w:sz w:val="24"/>
          <w:szCs w:val="24"/>
          <w:lang w:val="sr-Cyrl-CS"/>
        </w:rPr>
      </w:pPr>
      <w:r w:rsidRPr="00501409">
        <w:rPr>
          <w:rFonts w:ascii="Times New Roman" w:eastAsia="Calibri" w:hAnsi="Times New Roman"/>
          <w:sz w:val="24"/>
          <w:szCs w:val="24"/>
          <w:lang w:val="sr-Cyrl-CS"/>
        </w:rPr>
        <w:t>Обилазак Крушевца, музеја у Крушевцу, Црква Лазарица, обилазак Багдале, Врњачка бања, Јапански врт и комплек</w:t>
      </w:r>
      <w:r w:rsidR="00C02FE1">
        <w:rPr>
          <w:rFonts w:ascii="Times New Roman" w:eastAsia="Calibri" w:hAnsi="Times New Roman"/>
          <w:sz w:val="24"/>
          <w:szCs w:val="24"/>
          <w:lang w:val="sr-Latn-RS"/>
        </w:rPr>
        <w:t>s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 бање;</w:t>
      </w:r>
    </w:p>
    <w:p w14:paraId="5363FDA8" w14:textId="77777777" w:rsidR="00501409" w:rsidRPr="00E0347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03479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Смештај:   </w:t>
      </w:r>
    </w:p>
    <w:p w14:paraId="3E06EC6D" w14:textId="52BD8941" w:rsidR="00501409" w:rsidRPr="00501409" w:rsidRDefault="00501409" w:rsidP="00501409">
      <w:pPr>
        <w:jc w:val="both"/>
        <w:rPr>
          <w:rFonts w:ascii="Arial" w:hAnsi="Arial" w:cs="Arial"/>
          <w:iCs/>
          <w:szCs w:val="28"/>
          <w:lang w:val="sr-Cyrl-BA"/>
        </w:rPr>
      </w:pPr>
      <w:r w:rsidRPr="00501409">
        <w:rPr>
          <w:rFonts w:ascii="Times New Roman" w:eastAsia="Calibri" w:hAnsi="Times New Roman"/>
          <w:sz w:val="24"/>
          <w:szCs w:val="24"/>
          <w:lang w:val="sr-Cyrl-CS"/>
        </w:rPr>
        <w:t>Смештај и преноћиште у „ЈАТ“ апартманима или одговарајући</w:t>
      </w:r>
      <w:r w:rsidR="003E16E2">
        <w:rPr>
          <w:rFonts w:ascii="Times New Roman" w:eastAsia="Calibri" w:hAnsi="Times New Roman"/>
          <w:sz w:val="24"/>
          <w:szCs w:val="24"/>
          <w:lang w:val="sr-Cyrl-CS"/>
        </w:rPr>
        <w:t>м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 са дискотеком у објекту</w:t>
      </w:r>
      <w:r w:rsidRPr="003037A1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Pr="00E03479">
        <w:rPr>
          <w:rFonts w:ascii="Times New Roman" w:eastAsia="Calibri" w:hAnsi="Times New Roman"/>
          <w:sz w:val="24"/>
          <w:szCs w:val="24"/>
          <w:lang w:val="sr-Cyrl-CS"/>
        </w:rPr>
        <w:t xml:space="preserve">  </w:t>
      </w:r>
      <w:r w:rsidR="00262506">
        <w:rPr>
          <w:rFonts w:ascii="Times New Roman" w:eastAsia="Calibri" w:hAnsi="Times New Roman"/>
          <w:sz w:val="24"/>
          <w:szCs w:val="24"/>
          <w:lang w:val="sr-Cyrl-CS"/>
        </w:rPr>
        <w:t xml:space="preserve">Објекат за смештај ученика мора бити у центру Копаоника, при чему се под центром подразумева туристичка зона. </w:t>
      </w:r>
      <w:r w:rsidRPr="00E03479">
        <w:rPr>
          <w:rFonts w:ascii="Times New Roman" w:eastAsia="Calibri" w:hAnsi="Times New Roman"/>
          <w:sz w:val="24"/>
          <w:szCs w:val="24"/>
          <w:lang w:val="sr-Cyrl-CS"/>
        </w:rPr>
        <w:t>Смештај ученика мора бити у двокреветним, трокреветним и четворокреветним собама са купатилом (помоћни лежај се не може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користити као «кревет» у смислу као наведено, као ни кревети на развлачење и кревети на спрат – собе не смеју имати кревете на спрат),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 са организованим ручком у хотелу или ресторану који је наведен у документацији</w:t>
      </w:r>
      <w:r>
        <w:rPr>
          <w:rFonts w:ascii="Arial" w:hAnsi="Arial" w:cs="Arial"/>
          <w:iCs/>
          <w:szCs w:val="28"/>
          <w:lang w:val="sr-Cyrl-BA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14:paraId="2AA8D5A2" w14:textId="77777777" w:rsidR="0050140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За наставнике обезбедити једнокреветне и/или двокреветне собе.   </w:t>
      </w:r>
    </w:p>
    <w:p w14:paraId="2A187EFF" w14:textId="609D7BF0" w:rsidR="0050140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Неопходно је да смештај свих ученика и наставника буде у једном (истом) објекту који успуњава услове, односно има карактеристике наведене у опису. Такође је неопходно да буде обезбеђен смештај за све ученике и наставнике у једној смени (капацитет објекта мора бити такав да може да прими свих </w:t>
      </w:r>
      <w:r>
        <w:rPr>
          <w:rFonts w:ascii="Times New Roman" w:eastAsia="Calibri" w:hAnsi="Times New Roman"/>
          <w:sz w:val="24"/>
          <w:szCs w:val="24"/>
          <w:lang w:val="sr-Cyrl-RS"/>
        </w:rPr>
        <w:t>84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ученика у једној смени у структури соба које су описане).  </w:t>
      </w:r>
      <w:bookmarkEnd w:id="2"/>
    </w:p>
    <w:p w14:paraId="08CCB9A2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30FA29C9" w14:textId="553AFF7E" w:rsidR="00501409" w:rsidRPr="00EB5384" w:rsidRDefault="00501409" w:rsidP="00501409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AB76D9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>, који</w:t>
      </w:r>
      <w:r w:rsidRPr="00EB5384">
        <w:rPr>
          <w:rFonts w:ascii="Times New Roman" w:hAnsi="Times New Roman"/>
          <w:sz w:val="24"/>
          <w:szCs w:val="24"/>
          <w:lang w:val="sr-Cyrl-CS"/>
        </w:rPr>
        <w:t xml:space="preserve">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РС“, бр. 52/19 и 61/19</w:t>
      </w:r>
    </w:p>
    <w:p w14:paraId="0821C4C3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12861DEC" w14:textId="7E22BAEC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84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>(број условљен одлукама родитељима, у складу са природом ЈН)</w:t>
      </w:r>
    </w:p>
    <w:p w14:paraId="3E36993D" w14:textId="26D868CD" w:rsidR="00501409" w:rsidRPr="00136E76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Број </w:t>
      </w:r>
      <w:r w:rsidRPr="00826D54">
        <w:rPr>
          <w:rFonts w:ascii="Times New Roman" w:eastAsia="Calibri" w:hAnsi="Times New Roman"/>
          <w:sz w:val="24"/>
          <w:szCs w:val="24"/>
          <w:lang w:val="sr-Cyrl-CS"/>
        </w:rPr>
        <w:t xml:space="preserve">наставника: </w:t>
      </w:r>
      <w:r w:rsidR="00826D54" w:rsidRPr="00826D54">
        <w:rPr>
          <w:rFonts w:ascii="Times New Roman" w:eastAsia="Calibri" w:hAnsi="Times New Roman"/>
          <w:sz w:val="24"/>
          <w:szCs w:val="24"/>
          <w:lang w:val="sr-Latn-RS"/>
        </w:rPr>
        <w:t>4</w:t>
      </w:r>
      <w:r w:rsidRPr="00826D54">
        <w:rPr>
          <w:rFonts w:ascii="Times New Roman" w:eastAsia="Calibri" w:hAnsi="Times New Roman"/>
          <w:sz w:val="24"/>
          <w:szCs w:val="24"/>
        </w:rPr>
        <w:t xml:space="preserve"> </w:t>
      </w:r>
      <w:r w:rsidRPr="00826D54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Pr="00826D54">
        <w:rPr>
          <w:rFonts w:ascii="Times New Roman" w:eastAsia="Calibri" w:hAnsi="Times New Roman"/>
          <w:sz w:val="24"/>
          <w:szCs w:val="24"/>
        </w:rPr>
        <w:t>4</w:t>
      </w:r>
    </w:p>
    <w:p w14:paraId="4FA17CF8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01441EB3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2D5A5C05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Трошкови  смештаја и хране ( пун пансион: вечера, доручак, ручак)</w:t>
      </w:r>
    </w:p>
    <w:p w14:paraId="7E88FEFC" w14:textId="329B575C" w:rsidR="00501409" w:rsidRPr="00EB5384" w:rsidRDefault="00501409" w:rsidP="00501409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B42699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Pr="0050140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68AB06B6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 и кустоса)</w:t>
      </w:r>
    </w:p>
    <w:p w14:paraId="042D71C7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Трошкове осигурања свих путника</w:t>
      </w:r>
    </w:p>
    <w:p w14:paraId="5E7283DB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Трошкове накнаде за лекара пратиоца групе, 24-часовна здравствена заштита</w:t>
      </w:r>
    </w:p>
    <w:p w14:paraId="6A395AF9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</w:t>
      </w:r>
      <w:r>
        <w:rPr>
          <w:rFonts w:ascii="Times New Roman" w:eastAsia="Calibri" w:hAnsi="Times New Roman"/>
          <w:sz w:val="24"/>
          <w:szCs w:val="24"/>
          <w:lang w:val="sr-Cyrl-CS"/>
        </w:rPr>
        <w:t>тавника агенције, вођа пута из школе</w:t>
      </w:r>
    </w:p>
    <w:p w14:paraId="3563EA4F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5520A919" w14:textId="29D36355" w:rsidR="00501409" w:rsidRPr="00826D5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826D54">
        <w:rPr>
          <w:rFonts w:ascii="Times New Roman" w:eastAsia="Calibri" w:hAnsi="Times New Roman"/>
          <w:sz w:val="24"/>
          <w:szCs w:val="24"/>
          <w:lang w:val="sr-Cyrl-CS"/>
        </w:rPr>
        <w:lastRenderedPageBreak/>
        <w:t xml:space="preserve">Уколико иду близанци, свако дете плаћа 50% од цене </w:t>
      </w:r>
      <w:r w:rsidR="00FE4804">
        <w:rPr>
          <w:rFonts w:ascii="Times New Roman" w:eastAsia="Calibri" w:hAnsi="Times New Roman"/>
          <w:sz w:val="24"/>
          <w:szCs w:val="24"/>
          <w:lang w:val="sr-Cyrl-CS"/>
        </w:rPr>
        <w:t>(1 пар)</w:t>
      </w:r>
    </w:p>
    <w:p w14:paraId="6103FA19" w14:textId="78F79AEB" w:rsidR="00501409" w:rsidRPr="00826D5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826D54">
        <w:rPr>
          <w:rFonts w:ascii="Times New Roman" w:eastAsia="Calibri" w:hAnsi="Times New Roman"/>
          <w:sz w:val="24"/>
          <w:szCs w:val="24"/>
          <w:lang w:val="sr-Cyrl-CS"/>
        </w:rPr>
        <w:t>Гратис за 1 ученика на 15 плативих ученика на нивоу разреда.</w:t>
      </w:r>
    </w:p>
    <w:p w14:paraId="4DFF1412" w14:textId="6BA1548D" w:rsidR="00826D54" w:rsidRPr="00826D54" w:rsidRDefault="00826D54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826D54">
        <w:rPr>
          <w:rFonts w:ascii="Times New Roman" w:eastAsia="Calibri" w:hAnsi="Times New Roman"/>
          <w:sz w:val="24"/>
          <w:szCs w:val="24"/>
          <w:lang w:val="sr-Cyrl-CS"/>
        </w:rPr>
        <w:t>ИОП 2 плаћа 50% од цене</w:t>
      </w:r>
      <w:r w:rsidR="00FE4804">
        <w:rPr>
          <w:rFonts w:ascii="Times New Roman" w:eastAsia="Calibri" w:hAnsi="Times New Roman"/>
          <w:sz w:val="24"/>
          <w:szCs w:val="24"/>
          <w:lang w:val="sr-Cyrl-CS"/>
        </w:rPr>
        <w:t xml:space="preserve"> (2 ученика)</w:t>
      </w:r>
    </w:p>
    <w:p w14:paraId="709E7F00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Гратиси за  одељенске старешине</w:t>
      </w:r>
    </w:p>
    <w:p w14:paraId="0B7B0EC0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Боравишну таксу и хотелско осигурање</w:t>
      </w:r>
    </w:p>
    <w:p w14:paraId="0AF19706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3" w:name="_Hlk96793041"/>
      <w:bookmarkEnd w:id="1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6FC4451C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501409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84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501409">
        <w:rPr>
          <w:rFonts w:ascii="Times New Roman" w:eastAsia="Calibri" w:hAnsi="Times New Roman"/>
          <w:sz w:val="24"/>
          <w:szCs w:val="24"/>
          <w:lang w:val="sr-Cyrl-RS"/>
        </w:rPr>
        <w:t>1.166.666</w:t>
      </w:r>
      <w:r w:rsidR="00501409" w:rsidRPr="00D10E1A">
        <w:rPr>
          <w:rFonts w:ascii="Times New Roman" w:eastAsia="Calibri" w:hAnsi="Times New Roman"/>
          <w:sz w:val="24"/>
          <w:szCs w:val="24"/>
          <w:lang w:val="sr-Cyrl-RS"/>
        </w:rPr>
        <w:t>,</w:t>
      </w:r>
      <w:r w:rsidR="00501409">
        <w:rPr>
          <w:rFonts w:ascii="Times New Roman" w:eastAsia="Calibri" w:hAnsi="Times New Roman"/>
          <w:sz w:val="24"/>
          <w:szCs w:val="24"/>
          <w:lang w:val="sr-Cyrl-RS"/>
        </w:rPr>
        <w:t xml:space="preserve">67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lastRenderedPageBreak/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3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716BE"/>
    <w:multiLevelType w:val="hybridMultilevel"/>
    <w:tmpl w:val="4AD08AF4"/>
    <w:lvl w:ilvl="0" w:tplc="5E4E404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55AB3"/>
    <w:rsid w:val="00085C97"/>
    <w:rsid w:val="00092EBE"/>
    <w:rsid w:val="000E42FF"/>
    <w:rsid w:val="00193A1E"/>
    <w:rsid w:val="00212EA8"/>
    <w:rsid w:val="00225577"/>
    <w:rsid w:val="00262506"/>
    <w:rsid w:val="003032D3"/>
    <w:rsid w:val="00336120"/>
    <w:rsid w:val="0033630B"/>
    <w:rsid w:val="00396063"/>
    <w:rsid w:val="003C4746"/>
    <w:rsid w:val="003E16E2"/>
    <w:rsid w:val="0042051C"/>
    <w:rsid w:val="00501409"/>
    <w:rsid w:val="0060520E"/>
    <w:rsid w:val="007F1E96"/>
    <w:rsid w:val="00826D54"/>
    <w:rsid w:val="00930A91"/>
    <w:rsid w:val="00953C32"/>
    <w:rsid w:val="009827F1"/>
    <w:rsid w:val="009B29B5"/>
    <w:rsid w:val="00A37BD1"/>
    <w:rsid w:val="00A55DAD"/>
    <w:rsid w:val="00AB76D9"/>
    <w:rsid w:val="00B04514"/>
    <w:rsid w:val="00B42699"/>
    <w:rsid w:val="00B53FCB"/>
    <w:rsid w:val="00C02FE1"/>
    <w:rsid w:val="00C3311C"/>
    <w:rsid w:val="00CA6CAF"/>
    <w:rsid w:val="00CE014B"/>
    <w:rsid w:val="00D37C00"/>
    <w:rsid w:val="00DC6739"/>
    <w:rsid w:val="00E10334"/>
    <w:rsid w:val="00E60462"/>
    <w:rsid w:val="00ED536E"/>
    <w:rsid w:val="00F55493"/>
    <w:rsid w:val="00F77565"/>
    <w:rsid w:val="00FA1F77"/>
    <w:rsid w:val="00FE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2023-03-31T11:17:00Z</dcterms:created>
  <dcterms:modified xsi:type="dcterms:W3CDTF">2023-03-31T11:17:00Z</dcterms:modified>
</cp:coreProperties>
</file>